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ind w:right="139" w:firstLine="1418"/>
        <w:jc w:val="center"/>
        <w:outlineLvl w:val="2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ЗАЯВЛЕНИЕ НА ОТКРЫТИЕ СЧЕТА</w:t>
      </w:r>
    </w:p>
    <w:p>
      <w:pPr>
        <w:keepNext/>
        <w:spacing w:after="0" w:line="240" w:lineRule="auto"/>
        <w:ind w:right="139" w:firstLine="1418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Наименование клиента ___________________________________________________________________________</w:t>
      </w:r>
    </w:p>
    <w:p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________________________________________________________________________________________________</w:t>
      </w:r>
    </w:p>
    <w:p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6"/>
          <w:szCs w:val="20"/>
        </w:rPr>
      </w:pPr>
      <w:r>
        <w:rPr>
          <w:rFonts w:ascii="Times New Roman" w:hAnsi="Times New Roman" w:eastAsia="Times New Roman" w:cs="Times New Roman"/>
          <w:sz w:val="16"/>
          <w:szCs w:val="20"/>
        </w:rPr>
        <w:t>(указать полное наименование)</w:t>
      </w:r>
    </w:p>
    <w:p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ИНН клиента __________________________</w:t>
      </w:r>
    </w:p>
    <w:p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Наименование клиента на иностранном языке ________________________________________________________</w:t>
      </w:r>
    </w:p>
    <w:p>
      <w:pPr>
        <w:shd w:val="clear" w:color="auto" w:fill="FFFFFF"/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ascii="Times New Roman" w:hAnsi="Times New Roman" w:eastAsia="Times New Roman" w:cs="Times New Roman"/>
          <w:sz w:val="16"/>
          <w:szCs w:val="20"/>
        </w:rPr>
      </w:pPr>
      <w:r>
        <w:rPr>
          <w:rFonts w:ascii="Times New Roman" w:hAnsi="Times New Roman" w:eastAsia="Times New Roman" w:cs="Times New Roman"/>
          <w:sz w:val="16"/>
          <w:szCs w:val="20"/>
        </w:rPr>
        <w:t>(заполняется при открытии счета в иностранной валюте)</w:t>
      </w:r>
    </w:p>
    <w:p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hAnsi="Calibri" w:eastAsia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Настоящим заявляем об акцепте в порядке, предусмотренном ст. 428 Гражданского кодекса Российской Федерации, условий Договора комплексного банковского обслуживания </w:t>
      </w:r>
      <w:r>
        <w:rPr>
          <w:rFonts w:ascii="Times New Roman" w:hAnsi="Times New Roman" w:eastAsia="Times New Roman" w:cs="Times New Roman"/>
          <w:sz w:val="20"/>
          <w:szCs w:val="24"/>
        </w:rPr>
        <w:t>корпоративных клиентов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ПАО СКБ Приморья «Примсоцбанк», являющегося Договором присоединения.</w:t>
      </w:r>
    </w:p>
    <w:p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Принимаем на себя обязательства следовать положениям указанного Договора комплексного банковского обслуживания, включая условия, изложенные в приложениях к нему.</w:t>
      </w:r>
    </w:p>
    <w:p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Подтверждаем, что ознакомлены и согласны с Тарифами комиссионного вознаграждения за обслуживание юридических лиц и индивидуальных предпринимателей (резидентов, нерезидентов) ПАО СКБ Приморья «Примсоцбанк».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uppressAutoHyphens/>
              <w:autoSpaceDN w:val="0"/>
              <w:spacing w:after="0" w:line="250" w:lineRule="exact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u w:val="single"/>
                <w:lang w:eastAsia="ru-RU"/>
              </w:rPr>
              <w:t>Просим открыть следующие счета</w:t>
            </w: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lang w:eastAsia="ru-RU"/>
              </w:rPr>
              <w:t>:</w:t>
            </w:r>
          </w:p>
          <w:p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Расчетный счет в рублях РФ                                            </w:t>
            </w:r>
            <w:r>
              <w:rPr>
                <w:rFonts w:ascii="Wingdings" w:hAnsi="Wingdings" w:eastAsia="Times New Roman" w:cs="Wingdings"/>
                <w:sz w:val="20"/>
                <w:szCs w:val="20"/>
                <w:lang w:eastAsia="ru-RU"/>
              </w:rPr>
              <w:t>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Специальный счет платежного агента (субагента)</w:t>
            </w:r>
          </w:p>
          <w:p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Специальный счет поставщика                                        </w:t>
            </w:r>
            <w:r>
              <w:rPr>
                <w:rFonts w:ascii="Wingdings" w:hAnsi="Wingdings" w:eastAsia="Times New Roman" w:cs="Wingdings"/>
                <w:sz w:val="20"/>
                <w:szCs w:val="20"/>
                <w:lang w:eastAsia="ru-RU"/>
              </w:rPr>
              <w:t>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Специальный банковский счет должника</w:t>
            </w:r>
          </w:p>
          <w:p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Специальный банковский (залоговый) счет</w:t>
            </w:r>
          </w:p>
          <w:p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Счет для расчетов с использованием пластиковой карты:</w:t>
            </w:r>
          </w:p>
          <w:tbl>
            <w:tblPr>
              <w:tblStyle w:val="3"/>
              <w:tblW w:w="9209" w:type="dxa"/>
              <w:tblInd w:w="454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4673"/>
              <w:gridCol w:w="4536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8" w:hRule="atLeast"/>
              </w:trPr>
              <w:tc>
                <w:tcPr>
                  <w:tcW w:w="46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7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Calibri" w:hAnsi="Calibri" w:eastAsia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val="en-US" w:eastAsia="ru-RU"/>
                    </w:rPr>
                    <w:t>VISA BUSINESS</w:t>
                  </w:r>
                </w:p>
              </w:tc>
              <w:tc>
                <w:tcPr>
                  <w:tcW w:w="45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7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Calibri" w:hAnsi="Calibri" w:eastAsia="Times New Roman" w:cs="Times New Roman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val="en-US" w:eastAsia="ru-RU"/>
                    </w:rPr>
                    <w:t>UNION PAY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Счета в следующих иностранных валютах:</w:t>
            </w:r>
          </w:p>
          <w:tbl>
            <w:tblPr>
              <w:tblStyle w:val="3"/>
              <w:tblW w:w="9209" w:type="dxa"/>
              <w:tblInd w:w="454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3031"/>
              <w:gridCol w:w="2918"/>
              <w:gridCol w:w="3260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58" w:hRule="atLeast"/>
              </w:trPr>
              <w:tc>
                <w:tcPr>
                  <w:tcW w:w="30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ДОЛЛАР США</w:t>
                  </w:r>
                </w:p>
              </w:tc>
              <w:tc>
                <w:tcPr>
                  <w:tcW w:w="29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ЯПОНСКАЯ ЙЕНА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ВОНА РЕСПУБЛИКИ КОРЕЯ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0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ЕВРО</w:t>
                  </w:r>
                </w:p>
              </w:tc>
              <w:tc>
                <w:tcPr>
                  <w:tcW w:w="29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КИТАЙСКИЙ ЮАНЬ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КАЗАХСКИЙ ТЕНГЕ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30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НОРВЕЖСКАЯ КРОНА</w:t>
                  </w:r>
                </w:p>
              </w:tc>
              <w:tc>
                <w:tcPr>
                  <w:tcW w:w="29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ШВЕЙЦАРСКИЙ ФРАНК</w:t>
                  </w:r>
                </w:p>
              </w:tc>
              <w:tc>
                <w:tcPr>
                  <w:tcW w:w="3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ИНДИЙСКАЯ РУПИЯ ПО КЛИРИНГОВЫМ РАСЧЕТАМ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9209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13" w:hanging="142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  <w:t>__________________________ (указать иную валюту счета)</w:t>
                  </w:r>
                </w:p>
              </w:tc>
            </w:tr>
          </w:tbl>
          <w:p>
            <w:pPr>
              <w:tabs>
                <w:tab w:val="left" w:pos="815"/>
              </w:tabs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u w:val="single"/>
                <w:lang w:eastAsia="ru-RU"/>
              </w:rPr>
              <w:t>Просим подключить следующие услуги: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4"/>
              </w:tabs>
              <w:suppressAutoHyphens/>
              <w:autoSpaceDN w:val="0"/>
              <w:spacing w:after="0" w:line="240" w:lineRule="auto"/>
              <w:ind w:left="313" w:hanging="142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Услуга дистанционного банковского обслуживания «iBank2» 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ind w:left="454" w:hanging="283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Услуга «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val="en-US" w:eastAsia="ru-RU"/>
              </w:rPr>
              <w:t>SMS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-сервис» 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Подключить к следующим телефонным номерам:</w:t>
            </w:r>
          </w:p>
          <w:tbl>
            <w:tblPr>
              <w:tblStyle w:val="3"/>
              <w:tblW w:w="7075" w:type="dxa"/>
              <w:tblInd w:w="454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84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2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При предоставлении услуги «SMS – сервис» просим осуществлять подтверждение одноразовым паролем отправку по системе</w:t>
            </w:r>
            <w:r>
              <w:rPr>
                <w:rFonts w:ascii="Calibri" w:hAnsi="Calibri" w:eastAsia="Times New Roman" w:cs="Times New Roman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226695</wp:posOffset>
                      </wp:positionH>
                      <wp:positionV relativeFrom="paragraph">
                        <wp:posOffset>-420370</wp:posOffset>
                      </wp:positionV>
                      <wp:extent cx="6870065" cy="0"/>
                      <wp:effectExtent l="19050" t="19050" r="26035" b="381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70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3" cap="sq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.85pt;margin-top:-33.1pt;height:0pt;width:540.95pt;mso-position-horizontal-relative:margin;z-index:251659264;mso-width-relative:page;mso-height-relative:page;" filled="f" stroked="t" coordsize="21600,21600" o:gfxdata="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t8aT2QAAAAsBAAAPAAAAAAAAAAEAIAAA&#10;ACIAAABkcnMvZG93bnJldi54bWxQSwECFAAUAAAACACHTuJAqw7cwtIBAABhAwAADgAAAAAAAAAB&#10;ACAAAAAoAQAAZHJzL2Uyb0RvYy54bWxQSwUGAAAAAAYABgBZAQAAbAUAAAAA&#10;">
                      <v:fill on="f" focussize="0,0"/>
                      <v:stroke weight="0.510472440944882pt" color="#FFFFFF" joinstyle="miter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MS Mincho" w:cs="Times New Roman"/>
                <w:b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 w:eastAsia="MS Mincho" w:cs="Times New Roman"/>
                <w:bCs/>
                <w:sz w:val="20"/>
                <w:szCs w:val="20"/>
                <w:lang w:val="en-US" w:eastAsia="ru-RU"/>
              </w:rPr>
              <w:t>iBank</w:t>
            </w:r>
            <w:r>
              <w:rPr>
                <w:rFonts w:ascii="Times New Roman" w:hAnsi="Times New Roman" w:eastAsia="MS Mincho" w:cs="Times New Roman"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eastAsia="MS Mincho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документов в Банк, для платежей на сумму от: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2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____________________________________________________________________________________рублей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2"/>
              <w:jc w:val="both"/>
              <w:textAlignment w:val="baseline"/>
              <w:rPr>
                <w:rFonts w:ascii="Times New Roman" w:hAnsi="Times New Roman" w:eastAsia="MS Mincho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18"/>
                <w:szCs w:val="24"/>
                <w:lang w:eastAsia="ru-RU"/>
              </w:rPr>
              <w:t xml:space="preserve">В целях повышения уровня безопасности совершаемых клиентом платежей Банк вправе самостоятельно установить 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2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18"/>
                <w:szCs w:val="24"/>
                <w:lang w:eastAsia="ru-RU"/>
              </w:rPr>
              <w:t>пороговую сумму платежа, превышение которой требует подтверждения отправки платежа одноразовым паролем.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Услуга «Индикатор» </w:t>
            </w:r>
          </w:p>
          <w:tbl>
            <w:tblPr>
              <w:tblStyle w:val="3"/>
              <w:tblpPr w:leftFromText="180" w:rightFromText="180" w:vertAnchor="text" w:horzAnchor="margin" w:tblpXSpec="right" w:tblpY="61"/>
              <w:tblOverlap w:val="never"/>
              <w:tblW w:w="3113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Услуга «Мобильное приложение» подключить к телефонному номеру 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3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ФИО представителя ___________________________________</w:t>
            </w:r>
          </w:p>
          <w:tbl>
            <w:tblPr>
              <w:tblStyle w:val="3"/>
              <w:tblpPr w:leftFromText="180" w:rightFromText="180" w:vertAnchor="text" w:horzAnchor="page" w:tblpX="4954" w:tblpY="257"/>
              <w:tblOverlap w:val="never"/>
              <w:tblW w:w="3113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>
              <w:tblPrEx>
                <w:tblLayout w:type="fixed"/>
              </w:tblPrEx>
              <w:tc>
                <w:tcPr>
                  <w:tcW w:w="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Услуга «Личный кабинет»</w:t>
            </w:r>
          </w:p>
          <w:p>
            <w:pPr>
              <w:suppressAutoHyphens/>
              <w:autoSpaceDN w:val="0"/>
              <w:spacing w:after="0" w:line="240" w:lineRule="auto"/>
              <w:ind w:left="94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Пароль для доступа направить на телефонный номер </w:t>
            </w:r>
          </w:p>
          <w:p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Подключить сервис «Личный кабинет-Эквайринг»</w:t>
            </w:r>
          </w:p>
          <w:p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Услуга «С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val="en-US" w:eastAsia="ru-RU"/>
              </w:rPr>
              <w:t>МС-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информирование»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Подключить к следующим телефонным номерам:</w:t>
            </w:r>
          </w:p>
          <w:tbl>
            <w:tblPr>
              <w:tblStyle w:val="3"/>
              <w:tblW w:w="7075" w:type="dxa"/>
              <w:tblInd w:w="454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84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40" w:lineRule="auto"/>
                    <w:ind w:left="313" w:hanging="219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ind w:left="313" w:hanging="219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Сервис «Интернет-банк» для микробизнеса по системе «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val="en-US" w:eastAsia="ru-RU"/>
              </w:rPr>
              <w:t>iBank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2»</w:t>
            </w:r>
          </w:p>
          <w:tbl>
            <w:tblPr>
              <w:tblStyle w:val="3"/>
              <w:tblpPr w:leftFromText="180" w:rightFromText="180" w:vertAnchor="text" w:horzAnchor="page" w:tblpX="4155" w:tblpY="15"/>
              <w:tblOverlap w:val="never"/>
              <w:tblW w:w="3113" w:type="dxa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</w:tblGrid>
            <w:tr>
              <w:tblPrEx>
                <w:tblLayout w:type="fixed"/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c>
                <w:tcPr>
                  <w:tcW w:w="27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uppressAutoHyphens/>
                    <w:autoSpaceDN w:val="0"/>
                    <w:spacing w:after="0" w:line="250" w:lineRule="exact"/>
                    <w:ind w:left="176"/>
                    <w:jc w:val="both"/>
                    <w:textAlignment w:val="baseline"/>
                    <w:rPr>
                      <w:rFonts w:ascii="Times New Roman" w:hAnsi="Times New Roman" w:eastAsia="MS Mincho" w:cs="Times New Roman"/>
                      <w:shd w:val="clear" w:color="auto" w:fill="FFFF00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suppressAutoHyphens/>
              <w:autoSpaceDN w:val="0"/>
              <w:spacing w:after="0" w:line="250" w:lineRule="exact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 Подключить к телефонному номеру*: </w:t>
            </w:r>
          </w:p>
          <w:p>
            <w:pPr>
              <w:shd w:val="clear" w:color="auto" w:fill="FFFFFF"/>
              <w:suppressAutoHyphens/>
              <w:autoSpaceDN w:val="0"/>
              <w:spacing w:after="0" w:line="250" w:lineRule="exact"/>
              <w:ind w:left="318"/>
              <w:jc w:val="both"/>
              <w:textAlignment w:val="baseline"/>
              <w:rPr>
                <w:rFonts w:ascii="Times New Roman" w:hAnsi="Times New Roman" w:eastAsia="MS Mincho" w:cs="Times New Roman"/>
                <w:lang w:eastAsia="ru-RU"/>
              </w:rPr>
            </w:pPr>
          </w:p>
          <w:p>
            <w:pPr>
              <w:shd w:val="clear" w:color="auto" w:fill="FFFFFF"/>
              <w:suppressAutoHyphens/>
              <w:autoSpaceDN w:val="0"/>
              <w:spacing w:after="0" w:line="250" w:lineRule="exact"/>
              <w:jc w:val="center"/>
              <w:textAlignment w:val="baseline"/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>Электронная почта* ____________________________ Блокировочное слово*______________________________</w:t>
            </w:r>
          </w:p>
          <w:p>
            <w:pPr>
              <w:shd w:val="clear" w:color="auto" w:fill="FFFFFF"/>
              <w:suppressAutoHyphens/>
              <w:autoSpaceDN w:val="0"/>
              <w:spacing w:after="0" w:line="250" w:lineRule="exact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* обязательно к заполнению</w:t>
            </w:r>
          </w:p>
          <w:p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</w:rPr>
            </w:pPr>
            <w:r>
              <w:rPr>
                <w:rFonts w:ascii="Wingdings" w:hAnsi="Wingdings" w:eastAsia="Times New Roman" w:cs="Wingdings"/>
                <w:sz w:val="20"/>
                <w:szCs w:val="20"/>
                <w:lang w:eastAsia="ru-RU"/>
              </w:rPr>
              <w:t>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Подключить услугу «Индикатор»  </w:t>
            </w:r>
            <w:r>
              <w:rPr>
                <w:rFonts w:ascii="Wingdings" w:hAnsi="Wingdings" w:eastAsia="Times New Roman" w:cs="Wingdings"/>
                <w:sz w:val="20"/>
                <w:szCs w:val="20"/>
                <w:lang w:eastAsia="ru-RU"/>
              </w:rPr>
              <w:t></w:t>
            </w:r>
            <w:r>
              <w:rPr>
                <w:rFonts w:ascii="Times New Roman" w:hAnsi="Times New Roman" w:eastAsia="MS Mincho" w:cs="Times New Roman"/>
                <w:sz w:val="20"/>
                <w:szCs w:val="20"/>
                <w:lang w:eastAsia="ru-RU"/>
              </w:rPr>
              <w:t xml:space="preserve"> Подключить услугу «Инфо-сервис»</w:t>
            </w:r>
          </w:p>
        </w:tc>
      </w:tr>
    </w:tbl>
    <w:p>
      <w:pPr>
        <w:shd w:val="clear" w:color="auto" w:fill="FFFFFF"/>
        <w:suppressAutoHyphens/>
        <w:autoSpaceDN w:val="0"/>
        <w:spacing w:after="0" w:line="250" w:lineRule="exact"/>
        <w:ind w:hanging="36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Закрепить обслуживание в офисе Банка по адресу: __________________________________________________</w:t>
      </w:r>
    </w:p>
    <w:p>
      <w:pPr>
        <w:shd w:val="clear" w:color="auto" w:fill="FFFFFF"/>
        <w:suppressAutoHyphens/>
        <w:autoSpaceDN w:val="0"/>
        <w:spacing w:after="0" w:line="250" w:lineRule="exact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Руководитель __________________________________________________________     ________________________</w:t>
      </w:r>
    </w:p>
    <w:p>
      <w:pPr>
        <w:shd w:val="clear" w:color="auto" w:fill="FFFFFF"/>
        <w:suppressAutoHyphens/>
        <w:autoSpaceDN w:val="0"/>
        <w:spacing w:after="0" w:line="250" w:lineRule="exact"/>
        <w:ind w:hanging="360"/>
        <w:jc w:val="both"/>
        <w:textAlignment w:val="baselin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(должность, ФИО)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(подпись)</w:t>
      </w:r>
    </w:p>
    <w:p>
      <w:pPr>
        <w:shd w:val="clear" w:color="auto" w:fill="FFFFFF"/>
        <w:suppressAutoHyphens/>
        <w:autoSpaceDN w:val="0"/>
        <w:spacing w:after="0" w:line="250" w:lineRule="exact"/>
        <w:jc w:val="both"/>
        <w:textAlignment w:val="baseline"/>
        <w:rPr>
          <w:rFonts w:ascii="Calibri" w:hAnsi="Calibri" w:eastAsia="Times New Roman" w:cs="Times New Roman"/>
        </w:rPr>
      </w:pPr>
      <w:bookmarkStart w:id="3" w:name="_GoBack"/>
      <w:bookmarkEnd w:id="3"/>
      <w:r>
        <w:rPr>
          <w:rFonts w:ascii="Calibri" w:hAnsi="Calibri" w:eastAsia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442845" cy="508635"/>
                <wp:effectExtent l="0" t="0" r="1460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Отметка банка</w:t>
                            </w:r>
                          </w:p>
                          <w:p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принятии: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5pt;height:40.05pt;width:192.35pt;mso-position-horizontal:right;mso-position-horizontal-relative:margin;z-index:251660288;v-text-anchor:middle;mso-width-relative:page;mso-height-relative:page;" fillcolor="#FFFFFF" filled="t" stroked="t" coordsize="21600,21600" o:gfxdata="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3Qz32&#10;1QAAAAcBAAAPAAAAAAAAAAEAIAAAACIAAABkcnMvZG93bnJldi54bWxQSwECFAAUAAAACACHTuJA&#10;lNr6AiQCAAAaBAAADgAAAAAAAAABACAAAAAkAQAAZHJzL2Uyb0RvYy54bWxQSwUGAAAAAAYABgBZ&#10;AQAAugUAAAAA&#10;">
                <v:fill on="t" focussize="0,0"/>
                <v:stroke weight="1.00007874015748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Отметка банка</w:t>
                      </w:r>
                    </w:p>
                    <w:p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о принятии: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szCs w:val="20"/>
        </w:rPr>
        <w:t>М.П.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«____»____________20___ г.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</w:p>
    <w:p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_____________________________________________________________________________________________ </w:t>
      </w:r>
    </w:p>
    <w:p>
      <w:pPr>
        <w:spacing w:after="0" w:line="240" w:lineRule="auto"/>
        <w:jc w:val="both"/>
        <w:rPr>
          <w:rFonts w:ascii="Times New Roman" w:hAnsi="Times New Roman"/>
          <w:sz w:val="16"/>
        </w:rPr>
      </w:pPr>
    </w:p>
    <w:p>
      <w:pPr>
        <w:spacing w:after="0" w:line="240" w:lineRule="auto"/>
        <w:rPr>
          <w:rFonts w:ascii="Times New Roman" w:hAnsi="Times New Roman"/>
          <w:b/>
          <w:bCs/>
        </w:rPr>
      </w:pPr>
      <w:bookmarkStart w:id="0" w:name="_Toc520903951"/>
      <w:r>
        <w:rPr>
          <w:rFonts w:ascii="Times New Roman" w:hAnsi="Times New Roman"/>
          <w:b/>
          <w:bCs/>
        </w:rPr>
        <w:t>О Т М Е Т К И   Б А Н К А</w:t>
      </w:r>
      <w:bookmarkEnd w:id="0"/>
    </w:p>
    <w:p>
      <w:pPr>
        <w:spacing w:after="0" w:line="240" w:lineRule="auto"/>
        <w:rPr>
          <w:rFonts w:ascii="Times New Roman" w:hAnsi="Times New Roman"/>
          <w:b/>
          <w:bCs/>
        </w:rPr>
      </w:pPr>
    </w:p>
    <w:p>
      <w:pPr>
        <w:spacing w:after="0" w:line="240" w:lineRule="auto"/>
        <w:rPr>
          <w:rFonts w:ascii="Times New Roman" w:hAnsi="Times New Roman"/>
          <w:sz w:val="16"/>
        </w:rPr>
      </w:pPr>
    </w:p>
    <w:p>
      <w:pPr>
        <w:spacing w:after="0" w:line="240" w:lineRule="auto"/>
        <w:rPr>
          <w:rFonts w:ascii="Times New Roman" w:hAnsi="Times New Roman"/>
        </w:rPr>
      </w:pPr>
    </w:p>
    <w:tbl>
      <w:tblPr>
        <w:tblStyle w:val="3"/>
        <w:tblW w:w="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4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Toc520903952"/>
            <w:r>
              <w:rPr>
                <w:rFonts w:ascii="Times New Roman" w:hAnsi="Times New Roman"/>
                <w:b/>
                <w:bCs/>
              </w:rPr>
              <w:t xml:space="preserve">О Т К Р Ы Т </w:t>
            </w:r>
            <w:bookmarkEnd w:id="1"/>
            <w:r>
              <w:rPr>
                <w:rFonts w:ascii="Times New Roman" w:hAnsi="Times New Roman"/>
                <w:b/>
                <w:bCs/>
              </w:rPr>
              <w:t>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 счет</w:t>
            </w:r>
          </w:p>
        </w:tc>
        <w:tc>
          <w:tcPr>
            <w:tcW w:w="48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на оформление открытия счета совершение операций по счету проверил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(расчетный, текущий, бюджетный и др. счета)</w:t>
            </w:r>
          </w:p>
        </w:tc>
        <w:tc>
          <w:tcPr>
            <w:tcW w:w="48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</w:trPr>
        <w:tc>
          <w:tcPr>
            <w:tcW w:w="4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 А З Р Е Ш А Ю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ind w:left="1061" w:hanging="106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Документы на оформление открытия счета         в соответствие с ФЗ № 115 от 07.08.01 г. проверил: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638" w:type="dxa"/>
            <w:gridSpan w:val="2"/>
          </w:tcPr>
          <w:p>
            <w:pPr>
              <w:shd w:val="clear" w:color="auto" w:fill="FFFFFF"/>
              <w:spacing w:after="0" w:line="250" w:lineRule="exact"/>
              <w:ind w:hanging="3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 /___________/_______________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________________________________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3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(Должность руководителя)   /Ф.И.О.</w:t>
            </w:r>
            <w:r>
              <w:rPr>
                <w:rFonts w:ascii="Times New Roman" w:hAnsi="Times New Roman"/>
                <w:sz w:val="20"/>
              </w:rPr>
              <w:t>/   Подпись                                                                    (ФИО, Подпись)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 20 ___ года</w:t>
            </w:r>
          </w:p>
        </w:tc>
        <w:tc>
          <w:tcPr>
            <w:tcW w:w="48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74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Счет открыт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_________________________________________</w:t>
            </w:r>
          </w:p>
        </w:tc>
        <w:tc>
          <w:tcPr>
            <w:tcW w:w="4893" w:type="dxa"/>
          </w:tcPr>
          <w:p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b/>
              </w:rPr>
              <w:t xml:space="preserve">         </w:t>
            </w:r>
            <w:bookmarkStart w:id="2" w:name="_Toc520903953"/>
            <w:r>
              <w:rPr>
                <w:rFonts w:ascii="Times New Roman" w:hAnsi="Times New Roman"/>
                <w:sz w:val="20"/>
              </w:rPr>
              <w:t>Процедура идентификации клиента, представителя клиента, выгодоприобретателя (ей), бенефициарного (ых) владельца (ев) проведена:</w:t>
            </w:r>
            <w:bookmarkEnd w:id="2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ind w:firstLine="210"/>
              <w:rPr>
                <w:rFonts w:ascii="Times New Roman" w:hAnsi="Times New Roman"/>
                <w:sz w:val="20"/>
              </w:rPr>
            </w:pPr>
          </w:p>
          <w:p>
            <w:pPr>
              <w:shd w:val="clear" w:color="auto" w:fill="FFFFFF"/>
              <w:spacing w:after="0" w:line="250" w:lineRule="exact"/>
              <w:ind w:firstLine="2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___________/________________/________________/</w:t>
            </w:r>
          </w:p>
          <w:p>
            <w:pPr>
              <w:ind w:firstLine="2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(Должность / Подпись /Ф.И.О.)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  <w:p>
            <w:pPr>
              <w:rPr>
                <w:rFonts w:ascii="Times New Roman" w:hAnsi="Times New Roman"/>
                <w:sz w:val="20"/>
              </w:rPr>
            </w:pPr>
          </w:p>
        </w:tc>
      </w:tr>
    </w:tbl>
    <w:p/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D10"/>
    <w:multiLevelType w:val="multilevel"/>
    <w:tmpl w:val="28951D10"/>
    <w:lvl w:ilvl="0" w:tentative="0">
      <w:start w:val="0"/>
      <w:numFmt w:val="bullet"/>
      <w:lvlText w:val=""/>
      <w:lvlJc w:val="left"/>
      <w:pPr>
        <w:ind w:left="6024" w:hanging="36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6744" w:hanging="360"/>
      </w:pPr>
      <w:rPr>
        <w:rFonts w:ascii="Courier New" w:hAnsi="Courier New"/>
      </w:rPr>
    </w:lvl>
    <w:lvl w:ilvl="2" w:tentative="0">
      <w:start w:val="0"/>
      <w:numFmt w:val="bullet"/>
      <w:lvlText w:val=""/>
      <w:lvlJc w:val="left"/>
      <w:pPr>
        <w:ind w:left="7464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8184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8904" w:hanging="360"/>
      </w:pPr>
      <w:rPr>
        <w:rFonts w:ascii="Courier New" w:hAnsi="Courier New"/>
      </w:rPr>
    </w:lvl>
    <w:lvl w:ilvl="5" w:tentative="0">
      <w:start w:val="0"/>
      <w:numFmt w:val="bullet"/>
      <w:lvlText w:val=""/>
      <w:lvlJc w:val="left"/>
      <w:pPr>
        <w:ind w:left="9624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10344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11064" w:hanging="360"/>
      </w:pPr>
      <w:rPr>
        <w:rFonts w:ascii="Courier New" w:hAnsi="Courier New"/>
      </w:rPr>
    </w:lvl>
    <w:lvl w:ilvl="8" w:tentative="0">
      <w:start w:val="0"/>
      <w:numFmt w:val="bullet"/>
      <w:lvlText w:val=""/>
      <w:lvlJc w:val="left"/>
      <w:pPr>
        <w:ind w:left="11784" w:hanging="360"/>
      </w:pPr>
      <w:rPr>
        <w:rFonts w:ascii="Wingdings" w:hAnsi="Wingdings"/>
      </w:rPr>
    </w:lvl>
  </w:abstractNum>
  <w:abstractNum w:abstractNumId="1">
    <w:nsid w:val="65412A37"/>
    <w:multiLevelType w:val="multilevel"/>
    <w:tmpl w:val="65412A37"/>
    <w:lvl w:ilvl="0" w:tentative="0">
      <w:start w:val="0"/>
      <w:numFmt w:val="bullet"/>
      <w:lvlText w:val=""/>
      <w:lvlJc w:val="left"/>
      <w:pPr>
        <w:ind w:left="720" w:hanging="36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"/>
      <w:lvlJc w:val="left"/>
      <w:pPr>
        <w:ind w:left="5760" w:hanging="360"/>
      </w:pPr>
      <w:rPr>
        <w:rFonts w:ascii="Symbol" w:hAnsi="Symbol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675231"/>
    <w:multiLevelType w:val="multilevel"/>
    <w:tmpl w:val="74675231"/>
    <w:lvl w:ilvl="0" w:tentative="0">
      <w:start w:val="0"/>
      <w:numFmt w:val="bullet"/>
      <w:lvlText w:val=""/>
      <w:lvlJc w:val="left"/>
      <w:pPr>
        <w:ind w:left="720" w:hanging="360"/>
      </w:pPr>
      <w:rPr>
        <w:rFonts w:ascii="Symbol" w:hAnsi="Symbol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D8"/>
    <w:rsid w:val="000147D8"/>
    <w:rsid w:val="000D5AA3"/>
    <w:rsid w:val="0023459D"/>
    <w:rsid w:val="006E33A9"/>
    <w:rsid w:val="00E67C69"/>
    <w:rsid w:val="00FB78C4"/>
    <w:rsid w:val="271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677</Words>
  <Characters>3864</Characters>
  <Lines>32</Lines>
  <Paragraphs>9</Paragraphs>
  <TotalTime>2</TotalTime>
  <ScaleCrop>false</ScaleCrop>
  <LinksUpToDate>false</LinksUpToDate>
  <CharactersWithSpaces>4532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2021-05-21T00:50:00Z</dcterms:created>
  <dc:creator>Журова Евгения Владимировна</dc:creator>
  <cp:lastModifiedBy>odayn</cp:lastModifiedBy>
  <dcterms:modified xsi:type="dcterms:W3CDTF">2021-08-11T19:37:46Z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