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«Znaubiz.ru»</w:t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г. Москва, ул. Правды, д. 1, офис 1</w:t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июля 2021 г.</w:t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Бухгалтерская справка № 9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Настоящей справкой ООО «Znaubiz.ru» подтверждает следующие сведения по состоянию на «15» июля 2021 г:</w:t>
      </w:r>
    </w:p>
    <w:p>
      <w:pPr>
        <w:numPr>
          <w:ilvl w:val="0"/>
          <w:numId w:val="1"/>
        </w:numPr>
        <w:ind w:left="1080" w:hanging="36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ООО «Znaubiz.ru» Иванов И.И. владеет долей в уставном капитале, номинальная стоимость которой составляет десять тысяч рублей, что составляет 50 % уставного капитала общества. </w:t>
      </w:r>
    </w:p>
    <w:p>
      <w:pPr>
        <w:numPr>
          <w:ilvl w:val="0"/>
          <w:numId w:val="1"/>
        </w:numPr>
        <w:ind w:left="1080" w:hanging="36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Номинальную стоимость доли участник оплатил в полном объеме,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что подтверждается свидетельством № 1, выданным Обществом "24" марта 2016</w:t>
      </w:r>
      <w:r>
        <w:rPr>
          <w:rStyle w:val="char1"/>
          <w:rFonts w:ascii="Times New Roman" w:hAnsi="Times New Roman"/>
          <w:color w:val="000000"/>
          <w:sz w:val="28"/>
          <w:szCs w:val="28"/>
          <w:shd w:val="clear" w:fill="ffffff"/>
        </w:rPr>
        <w:t> г.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"/>
        </w:numPr>
        <w:ind w:left="1080" w:hanging="36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Действительная стоимость указанной доли в уставном фонде Общества,</w:t>
      </w:r>
      <w:r>
        <w:rPr>
          <w:rStyle w:val="char1"/>
          <w:rFonts w:ascii="Times New Roman" w:hAnsi="Times New Roman"/>
          <w:color w:val="000000"/>
          <w:sz w:val="28"/>
          <w:szCs w:val="28"/>
          <w:shd w:val="clear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определенная на основании данных баланса Общества по состоянию на "15" июля 2021 года,</w:t>
      </w:r>
      <w:r>
        <w:rPr>
          <w:rStyle w:val="char1"/>
          <w:rFonts w:ascii="Times New Roman" w:hAnsi="Times New Roman"/>
          <w:color w:val="000000"/>
          <w:sz w:val="28"/>
          <w:szCs w:val="28"/>
          <w:shd w:val="clear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составляет 500 000 рублей.</w:t>
      </w:r>
      <w:r>
        <w:rPr>
          <w:rStyle w:val="char1"/>
          <w:rFonts w:ascii="Times New Roman" w:hAnsi="Times New Roman"/>
          <w:sz w:val="28"/>
          <w:szCs w:val="28"/>
        </w:rPr>
      </w:r>
    </w:p>
    <w:p>
      <w:pPr>
        <w:ind w:left="36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1"/>
          <w:rFonts w:ascii="Times New Roman" w:hAnsi="Times New Roman"/>
          <w:sz w:val="28"/>
          <w:szCs w:val="28"/>
        </w:rPr>
      </w:pPr>
      <w:r>
        <w:rPr>
          <w:rStyle w:val="char1"/>
          <w:rFonts w:ascii="Times New Roman" w:hAnsi="Times New Roman"/>
          <w:sz w:val="28"/>
          <w:szCs w:val="28"/>
        </w:rPr>
      </w:r>
    </w:p>
    <w:p>
      <w:pPr>
        <w:ind w:left="36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Справка выдана для предоставления по месту требования.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ind w:left="36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20"/>
        <w:spacing/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Подтверждаем достоверность данной информации, предоставленной на основании бухгалтерского баланса ООО «Znaubiz.ru».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ООО «Znaubiz.ru» </w:t>
        <w:tab/>
        <w:tab/>
        <w:tab/>
        <w:tab/>
        <w:t>Иванов И.И./Иванов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ООО «Znaubiz.ru» </w:t>
        <w:tab/>
        <w:tab/>
        <w:t>Петров П.П./Петров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47"/>
    </w:tmLastPosCaret>
    <w:tmLastPosAnchor>
      <w:tmLastPosPgfIdx w:val="0"/>
      <w:tmLastPosIdx w:val="0"/>
    </w:tmLastPosAnchor>
    <w:tmLastPosTblRect w:left="0" w:top="0" w:right="0" w:bottom="0"/>
  </w:tmLastPos>
  <w:tmAppRevision w:date="162737128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</cp:revision>
  <dcterms:created xsi:type="dcterms:W3CDTF">2017-12-05T13:05:00Z</dcterms:created>
  <dcterms:modified xsi:type="dcterms:W3CDTF">2021-07-27T07:34:41Z</dcterms:modified>
</cp:coreProperties>
</file>